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BF0" w:rsidRDefault="00083BF0" w:rsidP="00083BF0">
      <w:pPr>
        <w:pStyle w:val="a4"/>
        <w:shd w:val="clear" w:color="auto" w:fill="FFFFFF"/>
        <w:spacing w:before="0" w:beforeAutospacing="0" w:after="0" w:afterAutospacing="0" w:line="450" w:lineRule="atLeast"/>
        <w:jc w:val="center"/>
        <w:outlineLvl w:val="1"/>
        <w:rPr>
          <w:b/>
          <w:bCs/>
          <w:color w:val="000000"/>
          <w:kern w:val="36"/>
          <w:sz w:val="28"/>
          <w:szCs w:val="28"/>
        </w:rPr>
      </w:pPr>
      <w:bookmarkStart w:id="0" w:name="_GoBack"/>
      <w:bookmarkEnd w:id="0"/>
      <w:r w:rsidRPr="00083BF0">
        <w:rPr>
          <w:b/>
          <w:bCs/>
          <w:color w:val="000000"/>
          <w:kern w:val="36"/>
          <w:sz w:val="28"/>
          <w:szCs w:val="28"/>
        </w:rPr>
        <w:t>Выписка по изменениям</w:t>
      </w:r>
      <w:r>
        <w:rPr>
          <w:b/>
          <w:bCs/>
          <w:color w:val="000000"/>
          <w:kern w:val="36"/>
          <w:sz w:val="28"/>
          <w:szCs w:val="28"/>
        </w:rPr>
        <w:t xml:space="preserve"> в Законе о рыболовстве</w:t>
      </w:r>
      <w:r w:rsidRPr="00083BF0">
        <w:rPr>
          <w:b/>
          <w:bCs/>
          <w:color w:val="000000"/>
          <w:kern w:val="36"/>
          <w:sz w:val="28"/>
          <w:szCs w:val="28"/>
        </w:rPr>
        <w:t>,</w:t>
      </w:r>
    </w:p>
    <w:p w:rsidR="00A624E3" w:rsidRPr="00083BF0" w:rsidRDefault="00083BF0" w:rsidP="00083BF0">
      <w:pPr>
        <w:pStyle w:val="a4"/>
        <w:shd w:val="clear" w:color="auto" w:fill="FFFFFF"/>
        <w:spacing w:before="0" w:beforeAutospacing="0" w:after="0" w:afterAutospacing="0" w:line="450" w:lineRule="atLeast"/>
        <w:jc w:val="center"/>
        <w:outlineLvl w:val="1"/>
        <w:rPr>
          <w:b/>
          <w:bCs/>
          <w:color w:val="000000"/>
          <w:kern w:val="36"/>
          <w:sz w:val="28"/>
          <w:szCs w:val="28"/>
        </w:rPr>
      </w:pPr>
      <w:r w:rsidRPr="00083BF0">
        <w:rPr>
          <w:b/>
          <w:bCs/>
          <w:color w:val="000000"/>
          <w:kern w:val="36"/>
          <w:sz w:val="28"/>
          <w:szCs w:val="28"/>
        </w:rPr>
        <w:t xml:space="preserve"> вступающими в силу с 1 марта 2026</w:t>
      </w:r>
    </w:p>
    <w:p w:rsidR="00083BF0" w:rsidRPr="00083BF0" w:rsidRDefault="00083BF0" w:rsidP="00083BF0">
      <w:pPr>
        <w:pStyle w:val="a4"/>
        <w:shd w:val="clear" w:color="auto" w:fill="FFFFFF"/>
        <w:spacing w:before="0" w:beforeAutospacing="0" w:after="0" w:afterAutospacing="0" w:line="450" w:lineRule="atLeast"/>
        <w:jc w:val="both"/>
        <w:outlineLvl w:val="1"/>
        <w:rPr>
          <w:b/>
          <w:bCs/>
          <w:color w:val="000000"/>
          <w:kern w:val="36"/>
        </w:rPr>
      </w:pP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1) </w:t>
      </w:r>
      <w:hyperlink r:id="rId4" w:anchor="dst100454" w:history="1">
        <w:r w:rsidRPr="00083BF0">
          <w:rPr>
            <w:rStyle w:val="a3"/>
            <w:color w:val="1A0DAB"/>
          </w:rPr>
          <w:t>пункт 19 части 1 статьи 1</w:t>
        </w:r>
      </w:hyperlink>
      <w:r w:rsidRPr="00083BF0">
        <w:rPr>
          <w:color w:val="000000"/>
        </w:rPr>
        <w:t> признать утратившим силу;</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10) </w:t>
      </w:r>
      <w:hyperlink r:id="rId5" w:anchor="dst648" w:history="1">
        <w:r w:rsidRPr="00083BF0">
          <w:rPr>
            <w:rStyle w:val="a3"/>
            <w:color w:val="1A0DAB"/>
          </w:rPr>
          <w:t>статьи 34</w:t>
        </w:r>
      </w:hyperlink>
      <w:r w:rsidRPr="00083BF0">
        <w:rPr>
          <w:color w:val="000000"/>
        </w:rPr>
        <w:t> - </w:t>
      </w:r>
      <w:hyperlink r:id="rId6" w:anchor="dst667" w:history="1">
        <w:r w:rsidRPr="00083BF0">
          <w:rPr>
            <w:rStyle w:val="a3"/>
            <w:color w:val="1A0DAB"/>
          </w:rPr>
          <w:t>37</w:t>
        </w:r>
      </w:hyperlink>
      <w:r w:rsidRPr="00083BF0">
        <w:rPr>
          <w:color w:val="000000"/>
        </w:rPr>
        <w:t> признать утратившими силу;</w:t>
      </w:r>
    </w:p>
    <w:p w:rsidR="00083BF0"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11) </w:t>
      </w:r>
      <w:hyperlink r:id="rId7" w:history="1">
        <w:r w:rsidRPr="00083BF0">
          <w:rPr>
            <w:rStyle w:val="a3"/>
            <w:color w:val="1A0DAB"/>
          </w:rPr>
          <w:t>дополнить</w:t>
        </w:r>
      </w:hyperlink>
      <w:r w:rsidRPr="00083BF0">
        <w:rPr>
          <w:color w:val="000000"/>
        </w:rPr>
        <w:t> главой 4.1 следующего содержания:</w:t>
      </w:r>
    </w:p>
    <w:p w:rsidR="00A624E3" w:rsidRPr="00083BF0" w:rsidRDefault="00A624E3" w:rsidP="00083BF0">
      <w:pPr>
        <w:pStyle w:val="a4"/>
        <w:shd w:val="clear" w:color="auto" w:fill="FFFFFF"/>
        <w:spacing w:before="0" w:beforeAutospacing="0" w:after="0" w:afterAutospacing="0"/>
        <w:ind w:firstLine="540"/>
        <w:jc w:val="both"/>
        <w:rPr>
          <w:b/>
          <w:color w:val="000000"/>
        </w:rPr>
      </w:pPr>
      <w:r w:rsidRPr="00083BF0">
        <w:rPr>
          <w:b/>
          <w:color w:val="000000"/>
        </w:rPr>
        <w:t>"Глава 4.1. Разрешение на добычу (вылов) водных биоресурсов</w:t>
      </w:r>
    </w:p>
    <w:p w:rsidR="00083BF0" w:rsidRPr="00083BF0" w:rsidRDefault="00083BF0" w:rsidP="00083BF0">
      <w:pPr>
        <w:pStyle w:val="a4"/>
        <w:shd w:val="clear" w:color="auto" w:fill="FFFFFF"/>
        <w:spacing w:before="0" w:beforeAutospacing="0" w:after="0" w:afterAutospacing="0"/>
        <w:ind w:firstLine="540"/>
        <w:jc w:val="both"/>
        <w:rPr>
          <w:b/>
          <w:color w:val="000000"/>
        </w:rPr>
      </w:pPr>
    </w:p>
    <w:p w:rsidR="00A624E3" w:rsidRPr="00083BF0" w:rsidRDefault="00A624E3" w:rsidP="00083BF0">
      <w:pPr>
        <w:pStyle w:val="a4"/>
        <w:shd w:val="clear" w:color="auto" w:fill="FFFFFF"/>
        <w:spacing w:before="0" w:beforeAutospacing="0" w:after="0" w:afterAutospacing="0"/>
        <w:ind w:firstLine="540"/>
        <w:jc w:val="both"/>
        <w:rPr>
          <w:b/>
          <w:color w:val="000000"/>
        </w:rPr>
      </w:pPr>
      <w:r w:rsidRPr="00083BF0">
        <w:rPr>
          <w:b/>
          <w:color w:val="000000"/>
        </w:rPr>
        <w:t>Статья 41.1. Разрешение на добычу (вылов) водных биоресурсов</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1. Разрешение на добычу (вылов) водных биоресурсов удостоверяет право на добычу (вылов) водных биоресурсов лица, которому такое право предоставлено, и подтверждается внесением записи в реестр разрешений на добычу (вылов) водных биоресурсов:</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1) при осуществлении промышленного рыболовства;</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2) при осуществлении прибрежного рыболовства;</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3) при осуществлении рыболовства в научно-исследовательских и контрольных целях;</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4) при осуществлении рыболовства в учебных и культурно-просветительских целях;</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5) при осуществлении рыболовства в целях аквакультуры (рыбоводства);</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6) при осуществлении организации любительского рыболовства;</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7) в иных предусмотренных настоящим Федеральным законом случаях.</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2. Лицо, которому предоставлено право на добычу (вылов) водных биоресурсов, обращается в федеральный орган исполнительной власти в области рыболовства с заявлением о предоставлении разрешения на добычу (вылов) водных биоресурсов в соответствии с порядком, предусмотренным частью 6 настоящей статьи, по форме,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Заявления о предоставлении разрешений на добычу (вылов) водных биоресурсов могут подаваться в форме документа на бумажном носителе либо в форме электронного документа, подписанного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3. При подаче заявления о предоставлении разрешения на добычу (вылов) водных биоресурсов физическим лицом, действующим от имени заявителя на основании доверенности, указанное заявление может быть подписано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4. Действие разрешения на добычу (вылов) водных биоресурсов может быть приостановлено или такое разрешение может быть аннулировано до истечения установленного в нем срока действия в соответствии с основаниями прекращения права на добычу (вылов) водных биоресурсов путем внесения в реестр разрешений на добычу (вылов) водных биоресурсов соответствующей записи федеральным органом исполнительной власти в области рыболовства.</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 xml:space="preserve">5. Действие разрешения на добычу (вылов) водных биоресурсов приостанавливается федеральным органом исполнительной власти в области рыболовства до истечения </w:t>
      </w:r>
      <w:r w:rsidRPr="00083BF0">
        <w:rPr>
          <w:color w:val="000000"/>
        </w:rPr>
        <w:lastRenderedPageBreak/>
        <w:t>установленного в нем срока действия при установлении федеральным органом исполнительной власти, уполномоченным на осуществление проверки, указанной в части 7 статьи 33.8 настоящего Федерального закона, фактов, предусмотренных пунктами 1 - 3 части 6 статьи 33.8 настоящего Федерального закона.</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6. Порядок предоставления разрешения на добычу (вылов) водных биоресурсов, приостановления его действия либо его аннулирования, если иное не предусмотрено Федеральным </w:t>
      </w:r>
      <w:hyperlink r:id="rId8" w:history="1">
        <w:r w:rsidRPr="00083BF0">
          <w:rPr>
            <w:rStyle w:val="a3"/>
            <w:color w:val="1A0DAB"/>
          </w:rPr>
          <w:t>законом</w:t>
        </w:r>
      </w:hyperlink>
      <w:r w:rsidRPr="00083BF0">
        <w:rPr>
          <w:color w:val="000000"/>
        </w:rPr>
        <w:t>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устанавливается Правительством Российской Федерации.</w:t>
      </w:r>
    </w:p>
    <w:p w:rsidR="00A624E3" w:rsidRPr="00083BF0" w:rsidRDefault="00A624E3" w:rsidP="00083BF0">
      <w:pPr>
        <w:pStyle w:val="a4"/>
        <w:shd w:val="clear" w:color="auto" w:fill="FFFFFF"/>
        <w:spacing w:before="0" w:beforeAutospacing="0" w:after="0" w:afterAutospacing="0"/>
        <w:ind w:firstLine="540"/>
        <w:jc w:val="both"/>
        <w:rPr>
          <w:b/>
          <w:color w:val="000000"/>
        </w:rPr>
      </w:pPr>
      <w:r w:rsidRPr="00083BF0">
        <w:rPr>
          <w:b/>
          <w:color w:val="000000"/>
        </w:rPr>
        <w:t>Статья 41.2. Реестр разрешений на добычу (вылов) водных биоресурсов и внесение в него изменений</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1. В реестр разрешений на добычу (вылов) водных биоресурсов вносится запись о предоставлении разрешения на добычу (вылов) водных биоресурсов в отношении каждого судна, используемого для осуществления рыболовства, а также каждого лица, осуществляющего рыболовство без использования судов, и в зависимости от вида рыболовства в нем указываются следующие сведения:</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1) о лицах, которым предоставлено право на добычу (вылов) водных биоресурсов, судне, используемом для осуществления рыболовства, районе добычи (вылова) водных биоресурсов и (или) рыболовном участке;</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2) о видах водных биоресурсов, разрешенных для добычи (вылова);</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3) об объемах добычи (вылова) водных биоресурсов;</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4) об орудиях, о способах и сроках добычи (вылова) водных биоресурсов;</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5) иные сведения, определяемые Правительством Российской Федерации.</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2. Выписка из реестра разрешений на добычу (вылов) водных биоресурсов предоставляется в форме документа на бумажном носителе либо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в соответствии с порядком ведения реестра разрешений на добычу (вылов) водных биоресурсов и внесения в него изменений, предусмотренным частью 11 настоящей статьи.</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3. Выписка из реестра разрешений на добычу (вылов) водных биоресурсов в форме электронного документа подписывается уполномоченным должностным лицом федерального органа исполнительной власти в области рыболовства усиленной квалифицированной электронной подписью.</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4. Форма выписки из реестра разрешений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5. Содержащиеся в реестре разрешений сведения обязательны для использования в иных государственных информационных ресурсах, а также при межведомственном информационном взаимодействии.</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6. Допускается внесение изменений в реестр разрешений на добычу (вылов) водных биоресурсов в случаях изменения или уточнения районов добычи (вылова) водных биоресурсов, объемов добычи (вылова) водных биоресурсов, для которых установлен общий допустимый улов, или объемов добычи (вылова) водных биоресурсов, для которых общий допустимый улов не устанавливается, орудий и способов добычи (вылова) водных биоресурсов, сроков действия указанных разрешений, сведений о лицах, которым предоставлено право на добычу (вылов) водных биоресурсов, и лицах, осуществляющих рыболовство без использования судов, замены капитанов судов и судоводителей, исправления ошибок в реестре разрешений на добычу (вылов) водных биоресурсов и в иных требующих безотлагательного решения случаях.</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 xml:space="preserve">7. Лицо, которому предоставлено право на добычу (вылов) водных биоресурсов, может обратиться в федеральный орган исполнительной власти в области рыболовства с заявлением о внесении изменений в реестр разрешений на добычу (вылов) водных </w:t>
      </w:r>
      <w:r w:rsidRPr="00083BF0">
        <w:rPr>
          <w:color w:val="000000"/>
        </w:rPr>
        <w:lastRenderedPageBreak/>
        <w:t>биоресурсов по форме,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Заявления о внесении изменений в реестр разрешений могут подаваться в форме документа на бумажном носителе либо в форме электронного документа, подписанного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8. Внесение изменений в реестр разрешений осуществляется уполномоченным федеральным органом исполнительной власти в области рыболовства и подтверждается выпиской из реестра разрешений.</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9. Органам федеральной службы безопасности, предусмотренным Федеральным </w:t>
      </w:r>
      <w:hyperlink r:id="rId9" w:history="1">
        <w:r w:rsidRPr="00083BF0">
          <w:rPr>
            <w:rStyle w:val="a3"/>
            <w:color w:val="1A0DAB"/>
          </w:rPr>
          <w:t>законом</w:t>
        </w:r>
      </w:hyperlink>
      <w:r w:rsidRPr="00083BF0">
        <w:rPr>
          <w:color w:val="000000"/>
        </w:rPr>
        <w:t> от 3 апреля 1995 года N 40-ФЗ "О федеральной службе безопасности", обеспечивается доступ к информации, которая содержится в реестре разрешений на добычу (вылов) водных биоресурсов в соответствии с частью 10 настоящей статьи.</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10. На каждом судне, используемом для осуществления рыболовства, а также лицами, осуществляющими рыболовство без использования судов, должен быть обеспечен доступ должностным лицам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к информации о разрешении на добычу (вылов) водных биоресурсов в порядке, предусмотренном Правительством Российской Федерации.</w:t>
      </w:r>
    </w:p>
    <w:p w:rsidR="00A624E3" w:rsidRDefault="00A624E3" w:rsidP="00083BF0">
      <w:pPr>
        <w:pStyle w:val="a4"/>
        <w:shd w:val="clear" w:color="auto" w:fill="FFFFFF"/>
        <w:spacing w:before="0" w:beforeAutospacing="0" w:after="0" w:afterAutospacing="0"/>
        <w:ind w:firstLine="540"/>
        <w:jc w:val="both"/>
        <w:rPr>
          <w:color w:val="000000"/>
        </w:rPr>
      </w:pPr>
      <w:r w:rsidRPr="00083BF0">
        <w:rPr>
          <w:color w:val="000000"/>
        </w:rPr>
        <w:t>11. Порядок ведения реестра разрешений на добычу (вылов) водных биоресурсов и внесения в него изменений, а также порядок обеспечения доступа органам федеральной службы безопасности, предусмотренным Федеральным </w:t>
      </w:r>
      <w:hyperlink r:id="rId10" w:history="1">
        <w:r w:rsidRPr="00083BF0">
          <w:rPr>
            <w:rStyle w:val="a3"/>
            <w:color w:val="1A0DAB"/>
          </w:rPr>
          <w:t>законом</w:t>
        </w:r>
      </w:hyperlink>
      <w:r w:rsidRPr="00083BF0">
        <w:rPr>
          <w:color w:val="000000"/>
        </w:rPr>
        <w:t> от 3 апреля 1995 года N 40-ФЗ "О федеральной службе безопасности", к информации, которая содержится в реестре разрешений на добычу (вылов) водных биоресурсов, устанавливается Правительством Российской Федерации.";</w:t>
      </w:r>
    </w:p>
    <w:p w:rsidR="00083BF0" w:rsidRPr="00083BF0" w:rsidRDefault="00083BF0" w:rsidP="00083BF0">
      <w:pPr>
        <w:pStyle w:val="a4"/>
        <w:shd w:val="clear" w:color="auto" w:fill="FFFFFF"/>
        <w:spacing w:before="0" w:beforeAutospacing="0" w:after="0" w:afterAutospacing="0"/>
        <w:ind w:firstLine="540"/>
        <w:jc w:val="both"/>
        <w:rPr>
          <w:color w:val="000000"/>
        </w:rPr>
      </w:pP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12) в </w:t>
      </w:r>
      <w:hyperlink r:id="rId11" w:anchor="dst602" w:history="1">
        <w:r w:rsidRPr="00083BF0">
          <w:rPr>
            <w:rStyle w:val="a3"/>
            <w:color w:val="1A0DAB"/>
          </w:rPr>
          <w:t>пункте 4 части 3 статьи 43.2</w:t>
        </w:r>
      </w:hyperlink>
      <w:r w:rsidRPr="00083BF0">
        <w:rPr>
          <w:color w:val="000000"/>
        </w:rPr>
        <w:t> слово "выданных" заменить словом "предоставленных";</w:t>
      </w:r>
    </w:p>
    <w:p w:rsidR="00A624E3" w:rsidRDefault="00A624E3" w:rsidP="00083BF0">
      <w:pPr>
        <w:pStyle w:val="a4"/>
        <w:shd w:val="clear" w:color="auto" w:fill="FFFFFF"/>
        <w:spacing w:before="0" w:beforeAutospacing="0" w:after="0" w:afterAutospacing="0"/>
        <w:ind w:firstLine="540"/>
        <w:jc w:val="both"/>
        <w:rPr>
          <w:color w:val="000000"/>
        </w:rPr>
      </w:pPr>
      <w:r w:rsidRPr="00083BF0">
        <w:rPr>
          <w:color w:val="000000"/>
        </w:rPr>
        <w:t>13) в </w:t>
      </w:r>
      <w:hyperlink r:id="rId12" w:anchor="dst630" w:history="1">
        <w:r w:rsidRPr="00083BF0">
          <w:rPr>
            <w:rStyle w:val="a3"/>
            <w:color w:val="1A0DAB"/>
          </w:rPr>
          <w:t>пункте 2 части 1 статьи 43.3</w:t>
        </w:r>
      </w:hyperlink>
      <w:r w:rsidRPr="00083BF0">
        <w:rPr>
          <w:color w:val="000000"/>
        </w:rPr>
        <w:t> слово "выданных" заменить словом "предоставленных";</w:t>
      </w:r>
    </w:p>
    <w:p w:rsidR="00083BF0" w:rsidRPr="00083BF0" w:rsidRDefault="00083BF0" w:rsidP="00083BF0">
      <w:pPr>
        <w:pStyle w:val="a4"/>
        <w:shd w:val="clear" w:color="auto" w:fill="FFFFFF"/>
        <w:spacing w:before="0" w:beforeAutospacing="0" w:after="0" w:afterAutospacing="0"/>
        <w:ind w:firstLine="540"/>
        <w:jc w:val="both"/>
        <w:rPr>
          <w:color w:val="000000"/>
        </w:rPr>
      </w:pP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15) </w:t>
      </w:r>
      <w:hyperlink r:id="rId13" w:history="1">
        <w:r w:rsidRPr="00083BF0">
          <w:rPr>
            <w:rStyle w:val="a3"/>
            <w:color w:val="1A0DAB"/>
          </w:rPr>
          <w:t>дополнить</w:t>
        </w:r>
      </w:hyperlink>
      <w:r w:rsidRPr="00083BF0">
        <w:rPr>
          <w:color w:val="000000"/>
        </w:rPr>
        <w:t> статьей 69 следующего содержания:</w:t>
      </w:r>
    </w:p>
    <w:p w:rsidR="00A624E3" w:rsidRPr="00083BF0" w:rsidRDefault="00A624E3" w:rsidP="00083BF0">
      <w:pPr>
        <w:pStyle w:val="a4"/>
        <w:shd w:val="clear" w:color="auto" w:fill="FFFFFF"/>
        <w:spacing w:before="0" w:beforeAutospacing="0" w:after="0" w:afterAutospacing="0"/>
        <w:ind w:firstLine="540"/>
        <w:jc w:val="both"/>
        <w:rPr>
          <w:b/>
          <w:color w:val="000000"/>
        </w:rPr>
      </w:pPr>
      <w:r w:rsidRPr="00083BF0">
        <w:rPr>
          <w:b/>
          <w:color w:val="000000"/>
        </w:rPr>
        <w:t>"Статья 69. Переходные положения в отношении разрешений на добычу (вылов) водных биоресурсов, выданных в форме документа</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1. Разрешения на добычу (вылов) водных биоресурсов, действующие по состоянию на 1 марта 2026 года, включаются в реестр разрешений на добычу (вылов) водных биоресурсов путем внесения в него соответствующей записи и действуют до окончания срока их действия.</w:t>
      </w:r>
    </w:p>
    <w:p w:rsidR="00A624E3" w:rsidRPr="00083BF0" w:rsidRDefault="00A624E3" w:rsidP="00083BF0">
      <w:pPr>
        <w:pStyle w:val="a4"/>
        <w:shd w:val="clear" w:color="auto" w:fill="FFFFFF"/>
        <w:spacing w:before="0" w:beforeAutospacing="0" w:after="0" w:afterAutospacing="0"/>
        <w:ind w:firstLine="540"/>
        <w:jc w:val="both"/>
        <w:rPr>
          <w:color w:val="000000"/>
        </w:rPr>
      </w:pPr>
      <w:r w:rsidRPr="00083BF0">
        <w:rPr>
          <w:color w:val="000000"/>
        </w:rPr>
        <w:t>2. Разрешения на добычу (вылов) водных биоресурсов или выписки из реестра разрешений должны находиться на каждом судне, используемом для осуществления рыболовства, а также у каждого из лиц, осуществляющих рыболовство без использования судов, до 1 января 2027 года.".</w:t>
      </w:r>
    </w:p>
    <w:p w:rsidR="00A624E3" w:rsidRPr="00083BF0" w:rsidRDefault="00A624E3" w:rsidP="00083BF0">
      <w:pPr>
        <w:spacing w:after="0"/>
        <w:jc w:val="both"/>
        <w:rPr>
          <w:rFonts w:ascii="Times New Roman" w:hAnsi="Times New Roman" w:cs="Times New Roman"/>
          <w:sz w:val="24"/>
          <w:szCs w:val="24"/>
        </w:rPr>
      </w:pPr>
    </w:p>
    <w:p w:rsidR="00A624E3" w:rsidRPr="00083BF0" w:rsidRDefault="00A624E3" w:rsidP="00083BF0">
      <w:pPr>
        <w:spacing w:after="0"/>
        <w:jc w:val="both"/>
        <w:rPr>
          <w:rFonts w:ascii="Times New Roman" w:hAnsi="Times New Roman" w:cs="Times New Roman"/>
          <w:sz w:val="24"/>
          <w:szCs w:val="24"/>
        </w:rPr>
      </w:pPr>
    </w:p>
    <w:p w:rsidR="00A624E3" w:rsidRDefault="00A624E3"/>
    <w:sectPr w:rsidR="00A624E3" w:rsidSect="00083BF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D5"/>
    <w:rsid w:val="00083BF0"/>
    <w:rsid w:val="00202D96"/>
    <w:rsid w:val="0061641C"/>
    <w:rsid w:val="007B03A9"/>
    <w:rsid w:val="008B1C73"/>
    <w:rsid w:val="00A01A14"/>
    <w:rsid w:val="00A624E3"/>
    <w:rsid w:val="00FF5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984BC-0B01-47C0-850F-3A362C06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24E3"/>
    <w:rPr>
      <w:color w:val="0000FF"/>
      <w:u w:val="single"/>
    </w:rPr>
  </w:style>
  <w:style w:type="paragraph" w:styleId="a4">
    <w:name w:val="Normal (Web)"/>
    <w:basedOn w:val="a"/>
    <w:uiPriority w:val="99"/>
    <w:semiHidden/>
    <w:unhideWhenUsed/>
    <w:rsid w:val="00A62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A62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A62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A62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ss">
    <w:name w:val="pass"/>
    <w:basedOn w:val="a0"/>
    <w:rsid w:val="0061641C"/>
  </w:style>
  <w:style w:type="character" w:customStyle="1" w:styleId="dname">
    <w:name w:val="dname"/>
    <w:basedOn w:val="a0"/>
    <w:rsid w:val="00616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42152">
      <w:bodyDiv w:val="1"/>
      <w:marLeft w:val="0"/>
      <w:marRight w:val="0"/>
      <w:marTop w:val="0"/>
      <w:marBottom w:val="0"/>
      <w:divBdr>
        <w:top w:val="none" w:sz="0" w:space="0" w:color="auto"/>
        <w:left w:val="none" w:sz="0" w:space="0" w:color="auto"/>
        <w:bottom w:val="none" w:sz="0" w:space="0" w:color="auto"/>
        <w:right w:val="none" w:sz="0" w:space="0" w:color="auto"/>
      </w:divBdr>
      <w:divsChild>
        <w:div w:id="695883437">
          <w:marLeft w:val="0"/>
          <w:marRight w:val="0"/>
          <w:marTop w:val="0"/>
          <w:marBottom w:val="0"/>
          <w:divBdr>
            <w:top w:val="none" w:sz="0" w:space="0" w:color="auto"/>
            <w:left w:val="none" w:sz="0" w:space="0" w:color="auto"/>
            <w:bottom w:val="none" w:sz="0" w:space="0" w:color="auto"/>
            <w:right w:val="none" w:sz="0" w:space="0" w:color="auto"/>
          </w:divBdr>
        </w:div>
      </w:divsChild>
    </w:div>
    <w:div w:id="1467359086">
      <w:bodyDiv w:val="1"/>
      <w:marLeft w:val="0"/>
      <w:marRight w:val="0"/>
      <w:marTop w:val="0"/>
      <w:marBottom w:val="0"/>
      <w:divBdr>
        <w:top w:val="none" w:sz="0" w:space="0" w:color="auto"/>
        <w:left w:val="none" w:sz="0" w:space="0" w:color="auto"/>
        <w:bottom w:val="none" w:sz="0" w:space="0" w:color="auto"/>
        <w:right w:val="none" w:sz="0" w:space="0" w:color="auto"/>
      </w:divBdr>
      <w:divsChild>
        <w:div w:id="800420836">
          <w:marLeft w:val="0"/>
          <w:marRight w:val="0"/>
          <w:marTop w:val="0"/>
          <w:marBottom w:val="0"/>
          <w:divBdr>
            <w:top w:val="none" w:sz="0" w:space="0" w:color="auto"/>
            <w:left w:val="none" w:sz="0" w:space="0" w:color="auto"/>
            <w:bottom w:val="none" w:sz="0" w:space="0" w:color="auto"/>
            <w:right w:val="none" w:sz="0" w:space="0" w:color="auto"/>
          </w:divBdr>
          <w:divsChild>
            <w:div w:id="54711086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2036080167">
      <w:bodyDiv w:val="1"/>
      <w:marLeft w:val="0"/>
      <w:marRight w:val="0"/>
      <w:marTop w:val="0"/>
      <w:marBottom w:val="0"/>
      <w:divBdr>
        <w:top w:val="none" w:sz="0" w:space="0" w:color="auto"/>
        <w:left w:val="none" w:sz="0" w:space="0" w:color="auto"/>
        <w:bottom w:val="none" w:sz="0" w:space="0" w:color="auto"/>
        <w:right w:val="none" w:sz="0" w:space="0" w:color="auto"/>
      </w:divBdr>
      <w:divsChild>
        <w:div w:id="1135105602">
          <w:marLeft w:val="0"/>
          <w:marRight w:val="0"/>
          <w:marTop w:val="0"/>
          <w:marBottom w:val="0"/>
          <w:divBdr>
            <w:top w:val="none" w:sz="0" w:space="0" w:color="auto"/>
            <w:left w:val="none" w:sz="0" w:space="0" w:color="auto"/>
            <w:bottom w:val="none" w:sz="0" w:space="0" w:color="auto"/>
            <w:right w:val="none" w:sz="0" w:space="0" w:color="auto"/>
          </w:divBdr>
        </w:div>
        <w:div w:id="1420326627">
          <w:marLeft w:val="0"/>
          <w:marRight w:val="0"/>
          <w:marTop w:val="360"/>
          <w:marBottom w:val="0"/>
          <w:divBdr>
            <w:top w:val="none" w:sz="0" w:space="0" w:color="auto"/>
            <w:left w:val="none" w:sz="0" w:space="0" w:color="auto"/>
            <w:bottom w:val="none" w:sz="0" w:space="0" w:color="auto"/>
            <w:right w:val="none" w:sz="0" w:space="0" w:color="auto"/>
          </w:divBdr>
        </w:div>
        <w:div w:id="2116317542">
          <w:marLeft w:val="0"/>
          <w:marRight w:val="0"/>
          <w:marTop w:val="360"/>
          <w:marBottom w:val="0"/>
          <w:divBdr>
            <w:top w:val="none" w:sz="0" w:space="0" w:color="auto"/>
            <w:left w:val="none" w:sz="0" w:space="0" w:color="auto"/>
            <w:bottom w:val="none" w:sz="0" w:space="0" w:color="auto"/>
            <w:right w:val="none" w:sz="0" w:space="0" w:color="auto"/>
          </w:divBdr>
        </w:div>
        <w:div w:id="1982802895">
          <w:marLeft w:val="0"/>
          <w:marRight w:val="0"/>
          <w:marTop w:val="0"/>
          <w:marBottom w:val="0"/>
          <w:divBdr>
            <w:top w:val="none" w:sz="0" w:space="0" w:color="auto"/>
            <w:left w:val="none" w:sz="0" w:space="0" w:color="auto"/>
            <w:bottom w:val="none" w:sz="0" w:space="0" w:color="auto"/>
            <w:right w:val="none" w:sz="0" w:space="0" w:color="auto"/>
          </w:divBdr>
        </w:div>
        <w:div w:id="1082945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6130/" TargetMode="External"/><Relationship Id="rId13" Type="http://schemas.openxmlformats.org/officeDocument/2006/relationships/hyperlink" Target="https://www.consultant.ru/document/cons_doc_LAW_481408/" TargetMode="External"/><Relationship Id="rId3" Type="http://schemas.openxmlformats.org/officeDocument/2006/relationships/webSettings" Target="webSettings.xml"/><Relationship Id="rId7" Type="http://schemas.openxmlformats.org/officeDocument/2006/relationships/hyperlink" Target="https://www.consultant.ru/document/cons_doc_LAW_481408/" TargetMode="External"/><Relationship Id="rId12" Type="http://schemas.openxmlformats.org/officeDocument/2006/relationships/hyperlink" Target="https://www.consultant.ru/document/cons_doc_LAW_481408/e3bb8a984bdce1f95197829f4edb441f3630cc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481408/4368b65ac70b567b8d010f61b14498d2d53e889a/" TargetMode="External"/><Relationship Id="rId11" Type="http://schemas.openxmlformats.org/officeDocument/2006/relationships/hyperlink" Target="https://www.consultant.ru/document/cons_doc_LAW_481408/6305ce543913a82f357a52de3aea3de21e14ba91/" TargetMode="External"/><Relationship Id="rId5" Type="http://schemas.openxmlformats.org/officeDocument/2006/relationships/hyperlink" Target="https://www.consultant.ru/document/cons_doc_LAW_481408/e12a94326b471205f004c147401879eec8094993/" TargetMode="External"/><Relationship Id="rId15" Type="http://schemas.openxmlformats.org/officeDocument/2006/relationships/theme" Target="theme/theme1.xml"/><Relationship Id="rId10" Type="http://schemas.openxmlformats.org/officeDocument/2006/relationships/hyperlink" Target="https://www.consultant.ru/document/cons_doc_LAW_508350/3d0cac60971a511280cbba229d9b6329c07731f7/" TargetMode="External"/><Relationship Id="rId4" Type="http://schemas.openxmlformats.org/officeDocument/2006/relationships/hyperlink" Target="https://www.consultant.ru/document/cons_doc_LAW_481408/856b6aa7481e4adff8c72e4d43400e82544de974/" TargetMode="External"/><Relationship Id="rId9" Type="http://schemas.openxmlformats.org/officeDocument/2006/relationships/hyperlink" Target="https://www.consultant.ru/document/cons_doc_LAW_508350/3d0cac60971a511280cbba229d9b6329c07731f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1639</Words>
  <Characters>9346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2026-02-24T12:31:00Z</dcterms:created>
  <dcterms:modified xsi:type="dcterms:W3CDTF">2026-02-24T12:31:00Z</dcterms:modified>
</cp:coreProperties>
</file>